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9B3D9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Sexta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FD32BA">
        <w:rPr>
          <w:rFonts w:ascii="Garamond" w:hAnsi="Garamond"/>
          <w:b/>
          <w:sz w:val="28"/>
          <w:szCs w:val="28"/>
          <w:u w:val="single"/>
        </w:rPr>
        <w:t>Reunión 2025</w:t>
      </w:r>
    </w:p>
    <w:p w:rsidR="00155790" w:rsidRPr="00C404D3" w:rsidRDefault="009B3D9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2 de septiembre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3F6B40" w:rsidRDefault="0022197C" w:rsidP="009B3D97">
      <w:pPr>
        <w:rPr>
          <w:rFonts w:ascii="Garamond" w:hAnsi="Garamond"/>
          <w:b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3F6B40" w:rsidRPr="009B3D97" w:rsidRDefault="003F6B40" w:rsidP="009B3D9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A7227B" w:rsidRPr="009B3D97" w:rsidRDefault="003F6B40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3F6B4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Acción declarativa de certeza en materia tributaria: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 </w:t>
      </w:r>
      <w:r w:rsidRPr="003F6B4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requisito de “caso” o “causa”. Repercusión en pretensiones de cobro de alícuotas diferenciales en la actuación notarial</w:t>
      </w:r>
      <w:r w:rsidR="009B3D97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(pendiente reunión anterior)</w:t>
      </w:r>
    </w:p>
    <w:p w:rsidR="009B3D97" w:rsidRPr="009B3D97" w:rsidRDefault="009B3D97" w:rsidP="009B3D97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:rsidR="009B3D97" w:rsidRPr="009B3D97" w:rsidRDefault="009B3D97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Impuesto a las ganancias. </w:t>
      </w:r>
      <w:r w:rsidRPr="009B3D97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Distribución de dividendos y entrega de inmuebles. Personas humanas: habitualidad en la enajenación de inmuebles</w:t>
      </w:r>
    </w:p>
    <w:p w:rsidR="009B3D97" w:rsidRPr="009B3D97" w:rsidRDefault="009B3D97" w:rsidP="009B3D97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:rsidR="009B3D97" w:rsidRDefault="009B3D97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9B3D97">
        <w:rPr>
          <w:rFonts w:ascii="Garamond" w:hAnsi="Garamond" w:cs="Arial"/>
          <w:b/>
          <w:bCs/>
          <w:color w:val="333333"/>
          <w:sz w:val="28"/>
          <w:szCs w:val="28"/>
        </w:rPr>
        <w:t>Domicilio Fiscal Electrónico Federal.</w:t>
      </w:r>
      <w:r>
        <w:rPr>
          <w:rFonts w:ascii="Garamond" w:hAnsi="Garamond" w:cs="Arial"/>
          <w:bCs/>
          <w:color w:val="333333"/>
          <w:sz w:val="28"/>
          <w:szCs w:val="28"/>
        </w:rPr>
        <w:t xml:space="preserve"> Validez de las notificaciones</w:t>
      </w:r>
    </w:p>
    <w:p w:rsidR="009B3D97" w:rsidRPr="009B3D97" w:rsidRDefault="009B3D97" w:rsidP="009B3D97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B3D97" w:rsidRPr="009B3D97" w:rsidRDefault="009B3D97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9B3D97">
        <w:rPr>
          <w:rFonts w:ascii="Garamond" w:hAnsi="Garamond" w:cs="Arial"/>
          <w:b/>
          <w:bCs/>
          <w:color w:val="333333"/>
          <w:sz w:val="28"/>
          <w:szCs w:val="28"/>
        </w:rPr>
        <w:t>Derogación de regímenes de información</w:t>
      </w:r>
    </w:p>
    <w:p w:rsidR="009B3D97" w:rsidRPr="009B3D97" w:rsidRDefault="009B3D97" w:rsidP="009B3D97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B3D97" w:rsidRDefault="009B3D97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9B3D97">
        <w:rPr>
          <w:rFonts w:ascii="Garamond" w:hAnsi="Garamond" w:cs="Arial"/>
          <w:b/>
          <w:bCs/>
          <w:color w:val="333333"/>
          <w:sz w:val="28"/>
          <w:szCs w:val="28"/>
        </w:rPr>
        <w:t xml:space="preserve">ARCA Móvil. </w:t>
      </w:r>
      <w:r w:rsidRPr="00786A58">
        <w:rPr>
          <w:rFonts w:ascii="Garamond" w:hAnsi="Garamond" w:cs="Arial"/>
          <w:bCs/>
          <w:color w:val="333333"/>
          <w:sz w:val="28"/>
          <w:szCs w:val="28"/>
        </w:rPr>
        <w:t>Denuncias</w:t>
      </w:r>
    </w:p>
    <w:p w:rsidR="009B3D97" w:rsidRPr="009B3D97" w:rsidRDefault="009B3D97" w:rsidP="009B3D97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B3D97" w:rsidRPr="00EF6373" w:rsidRDefault="009B3D97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bookmarkStart w:id="0" w:name="_GoBack"/>
      <w:bookmarkEnd w:id="0"/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Novedades de última hora: </w:t>
      </w:r>
      <w:r w:rsidRPr="00EF6373">
        <w:rPr>
          <w:rFonts w:ascii="Garamond" w:hAnsi="Garamond" w:cs="Arial"/>
          <w:bCs/>
          <w:color w:val="333333"/>
          <w:sz w:val="28"/>
          <w:szCs w:val="28"/>
        </w:rPr>
        <w:t>amparo de la Unión del Personal Superior de la AFIP. Proyecto de ley de reforma del régimen penal tributario</w:t>
      </w:r>
      <w:r w:rsidR="00EF6373" w:rsidRPr="00EF6373">
        <w:rPr>
          <w:rFonts w:ascii="Garamond" w:hAnsi="Garamond" w:cs="Arial"/>
          <w:bCs/>
          <w:color w:val="333333"/>
          <w:sz w:val="28"/>
          <w:szCs w:val="28"/>
        </w:rPr>
        <w:t>: actualización de montos. Unidades fijas</w:t>
      </w:r>
    </w:p>
    <w:p w:rsidR="003F6B40" w:rsidRPr="003F6B40" w:rsidRDefault="003F6B40" w:rsidP="003F6B40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3F6B40" w:rsidRPr="003F6B40" w:rsidRDefault="003F6B40" w:rsidP="003F6B40">
      <w:p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255D1B" w:rsidRDefault="00255D1B" w:rsidP="00104BCE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2C463D" w:rsidRDefault="002C463D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 w:rsidR="00255D1B">
        <w:rPr>
          <w:rFonts w:ascii="Garamond" w:hAnsi="Garamond"/>
          <w:sz w:val="28"/>
          <w:szCs w:val="28"/>
        </w:rPr>
        <w:t xml:space="preserve">.- </w:t>
      </w:r>
      <w:r w:rsidR="00EF6373">
        <w:rPr>
          <w:rFonts w:ascii="Garamond" w:hAnsi="Garamond"/>
          <w:sz w:val="28"/>
          <w:szCs w:val="28"/>
        </w:rPr>
        <w:t>RG (ARCA) nº 5732/2025 y 5737/2025</w:t>
      </w:r>
    </w:p>
    <w:p w:rsidR="00EF6373" w:rsidRDefault="00EF6373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EF6373" w:rsidRDefault="00EF6373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2.- RG Comisión Arbitral nº 14/2025</w:t>
      </w:r>
    </w:p>
    <w:p w:rsidR="002C463D" w:rsidRDefault="002C463D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A7227B" w:rsidRDefault="00A7227B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2C463D" w:rsidRPr="002C463D" w:rsidRDefault="002C463D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2C463D">
        <w:rPr>
          <w:rFonts w:ascii="Garamond" w:hAnsi="Garamond"/>
          <w:b/>
          <w:sz w:val="28"/>
          <w:szCs w:val="28"/>
        </w:rPr>
        <w:lastRenderedPageBreak/>
        <w:t>II.- Jurisprudencia</w:t>
      </w:r>
      <w:r w:rsidR="003F6B40">
        <w:rPr>
          <w:rFonts w:ascii="Garamond" w:hAnsi="Garamond"/>
          <w:b/>
          <w:sz w:val="28"/>
          <w:szCs w:val="28"/>
        </w:rPr>
        <w:t xml:space="preserve"> judicial</w:t>
      </w:r>
      <w:r w:rsidRPr="002C463D">
        <w:rPr>
          <w:rFonts w:ascii="Garamond" w:hAnsi="Garamond"/>
          <w:b/>
          <w:sz w:val="28"/>
          <w:szCs w:val="28"/>
        </w:rPr>
        <w:t>:</w:t>
      </w:r>
    </w:p>
    <w:p w:rsidR="002C463D" w:rsidRPr="003F6B40" w:rsidRDefault="002C463D" w:rsidP="003F6B40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3F6B40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 w:rsidR="000447B0" w:rsidRPr="000447B0">
        <w:rPr>
          <w:rFonts w:ascii="Garamond" w:hAnsi="Garamond"/>
          <w:sz w:val="28"/>
          <w:szCs w:val="28"/>
        </w:rPr>
        <w:t xml:space="preserve">.- </w:t>
      </w:r>
      <w:r w:rsidR="003F6B40">
        <w:rPr>
          <w:rFonts w:ascii="Garamond" w:hAnsi="Garamond"/>
          <w:sz w:val="28"/>
          <w:szCs w:val="28"/>
        </w:rPr>
        <w:t>“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Cepas Argentinas S.A. c/ Córdoba,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Provincia de s/ acción declarativa de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 certeza”. CSJN. 03-06-2025</w:t>
      </w:r>
    </w:p>
    <w:p w:rsidR="00EF6373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EF6373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>
        <w:rPr>
          <w:rFonts w:ascii="Garamond" w:eastAsia="TimesNewRomanPSMT" w:hAnsi="Garamond" w:cs="TimesNewRomanPSMT"/>
          <w:sz w:val="28"/>
          <w:szCs w:val="28"/>
        </w:rPr>
        <w:t>2.- “Jugos Australes SA”. TFN. Sala D. 26-03-2025</w:t>
      </w:r>
    </w:p>
    <w:p w:rsidR="00EF6373" w:rsidRPr="00EF6373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EF6373" w:rsidRDefault="00EF6373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>
        <w:rPr>
          <w:rFonts w:ascii="Garamond" w:eastAsia="TimesNewRomanPSMT" w:hAnsi="Garamond" w:cs="TimesNewRomanPSMT"/>
          <w:sz w:val="28"/>
          <w:szCs w:val="28"/>
        </w:rPr>
        <w:t>3.- “Segura López, Pedro Antonio (tf 49686-i) c/Dirección General I</w:t>
      </w:r>
      <w:r w:rsidRPr="00EF6373">
        <w:rPr>
          <w:rFonts w:ascii="Garamond" w:eastAsia="TimesNewRomanPSMT" w:hAnsi="Garamond" w:cs="TimesNewRomanPSMT"/>
          <w:sz w:val="28"/>
          <w:szCs w:val="28"/>
        </w:rPr>
        <w:t>mpositiva s/recurso directo de</w:t>
      </w:r>
      <w:r>
        <w:rPr>
          <w:rFonts w:ascii="Garamond" w:eastAsia="TimesNewRomanPSMT" w:hAnsi="Garamond" w:cs="TimesNewRomanPSMT"/>
          <w:sz w:val="28"/>
          <w:szCs w:val="28"/>
        </w:rPr>
        <w:t xml:space="preserve"> organismo externo”. CNACAFed. Sala III. 01-07-2025.</w:t>
      </w:r>
    </w:p>
    <w:p w:rsidR="00EF6373" w:rsidRPr="00EF6373" w:rsidRDefault="00EF6373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EF6373" w:rsidRDefault="00EF6373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 w:rsidRPr="00EF6373">
        <w:rPr>
          <w:rFonts w:ascii="Garamond" w:eastAsia="TimesNewRomanPSMT" w:hAnsi="Garamond" w:cs="TimesNewRomanPSMT"/>
          <w:sz w:val="28"/>
          <w:szCs w:val="28"/>
        </w:rPr>
        <w:t xml:space="preserve">4.- </w:t>
      </w:r>
      <w:r>
        <w:rPr>
          <w:rFonts w:ascii="Garamond" w:eastAsia="TimesNewRomanPSMT" w:hAnsi="Garamond" w:cs="TimesNewRomanPSMT"/>
          <w:sz w:val="28"/>
          <w:szCs w:val="28"/>
        </w:rPr>
        <w:t>Juzg. 1ª instancia CAFed. nº 8 “U</w:t>
      </w:r>
      <w:r w:rsidRPr="00EF6373">
        <w:rPr>
          <w:rFonts w:ascii="Garamond" w:eastAsia="TimesNewRomanPSMT" w:hAnsi="Garamond" w:cs="TimesNewRomanPSMT"/>
          <w:sz w:val="28"/>
          <w:szCs w:val="28"/>
        </w:rPr>
        <w:t>n</w:t>
      </w:r>
      <w:r>
        <w:rPr>
          <w:rFonts w:ascii="Garamond" w:eastAsia="TimesNewRomanPSMT" w:hAnsi="Garamond" w:cs="TimesNewRomanPSMT"/>
          <w:sz w:val="28"/>
          <w:szCs w:val="28"/>
        </w:rPr>
        <w:t>ión del Personal Superior de la Administración F</w:t>
      </w:r>
      <w:r w:rsidRPr="00EF6373">
        <w:rPr>
          <w:rFonts w:ascii="Garamond" w:eastAsia="TimesNewRomanPSMT" w:hAnsi="Garamond" w:cs="TimesNewRomanPSMT"/>
          <w:sz w:val="28"/>
          <w:szCs w:val="28"/>
        </w:rPr>
        <w:t>ed</w:t>
      </w:r>
      <w:r>
        <w:rPr>
          <w:rFonts w:ascii="Garamond" w:eastAsia="TimesNewRomanPSMT" w:hAnsi="Garamond" w:cs="TimesNewRomanPSMT"/>
          <w:sz w:val="28"/>
          <w:szCs w:val="28"/>
        </w:rPr>
        <w:t xml:space="preserve">eral de Ingresos Públicos c/ en </w:t>
      </w:r>
      <w:r w:rsidRPr="00EF6373">
        <w:rPr>
          <w:rFonts w:ascii="Garamond" w:eastAsia="TimesNewRomanPSMT" w:hAnsi="Garamond" w:cs="TimesNewRomanPSMT"/>
          <w:sz w:val="28"/>
          <w:szCs w:val="28"/>
        </w:rPr>
        <w:t>-dto 953/24 s/amparo ley 16.986</w:t>
      </w:r>
      <w:r>
        <w:rPr>
          <w:rFonts w:ascii="Garamond" w:eastAsia="TimesNewRomanPSMT" w:hAnsi="Garamond" w:cs="TimesNewRomanPSMT"/>
          <w:sz w:val="28"/>
          <w:szCs w:val="28"/>
        </w:rPr>
        <w:t>”. 07-08-2025</w:t>
      </w:r>
    </w:p>
    <w:p w:rsidR="00EF6373" w:rsidRPr="00EF6373" w:rsidRDefault="00EF6373" w:rsidP="00EF637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5C1499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Cs/>
          <w:sz w:val="28"/>
          <w:szCs w:val="28"/>
        </w:rPr>
      </w:pPr>
      <w:r w:rsidRPr="00EF6373">
        <w:rPr>
          <w:rFonts w:ascii="Garamond" w:eastAsia="TimesNewRomanPSMT" w:hAnsi="Garamond" w:cs="TimesNewRomanPSMT"/>
          <w:sz w:val="28"/>
          <w:szCs w:val="28"/>
        </w:rPr>
        <w:t xml:space="preserve">5.- </w:t>
      </w:r>
      <w:r>
        <w:rPr>
          <w:rFonts w:ascii="Garamond" w:eastAsia="TimesNewRomanPSMT" w:hAnsi="Garamond" w:cs="TimesNewRomanPSMT"/>
          <w:sz w:val="28"/>
          <w:szCs w:val="28"/>
        </w:rPr>
        <w:t>Juzg. 1ª instancia CAyT</w:t>
      </w:r>
      <w:r w:rsidR="00DA6928">
        <w:rPr>
          <w:rFonts w:ascii="Garamond" w:eastAsia="TimesNewRomanPSMT" w:hAnsi="Garamond" w:cs="TimesNewRomanPSMT"/>
          <w:sz w:val="28"/>
          <w:szCs w:val="28"/>
        </w:rPr>
        <w:t xml:space="preserve"> nº 4</w:t>
      </w:r>
      <w:r>
        <w:rPr>
          <w:rFonts w:ascii="Garamond" w:eastAsia="TimesNewRomanPSMT" w:hAnsi="Garamond" w:cs="TimesNewRomanPSMT"/>
          <w:sz w:val="28"/>
          <w:szCs w:val="28"/>
        </w:rPr>
        <w:t xml:space="preserve"> y Sala I CACATyRC</w:t>
      </w:r>
      <w:r w:rsidR="00DA6928">
        <w:rPr>
          <w:rFonts w:ascii="Garamond" w:eastAsia="TimesNewRomanPSMT" w:hAnsi="Garamond" w:cs="TimesNewRomanPSMT"/>
          <w:sz w:val="28"/>
          <w:szCs w:val="28"/>
        </w:rPr>
        <w:t xml:space="preserve"> </w:t>
      </w:r>
      <w:r>
        <w:rPr>
          <w:rFonts w:ascii="Garamond" w:eastAsia="TimesNewRomanPSMT" w:hAnsi="Garamond" w:cs="TimesNewRomanPSMT"/>
          <w:sz w:val="28"/>
          <w:szCs w:val="28"/>
        </w:rPr>
        <w:t>(CABA)</w:t>
      </w:r>
      <w:r w:rsidR="00DA6928">
        <w:rPr>
          <w:rFonts w:ascii="Garamond" w:eastAsia="TimesNewRomanPSMT" w:hAnsi="Garamond" w:cs="TimesNewRomanPSMT"/>
          <w:sz w:val="28"/>
          <w:szCs w:val="28"/>
        </w:rPr>
        <w:t xml:space="preserve"> </w:t>
      </w:r>
      <w:r>
        <w:rPr>
          <w:rFonts w:ascii="Garamond" w:eastAsia="TimesNewRomanPSMT" w:hAnsi="Garamond" w:cs="TimesNewRomanPSMT"/>
          <w:sz w:val="28"/>
          <w:szCs w:val="28"/>
        </w:rPr>
        <w:t>“</w:t>
      </w:r>
      <w:r w:rsidRPr="00EF6373">
        <w:rPr>
          <w:rFonts w:ascii="Garamond" w:hAnsi="Garamond" w:cs="Times New Roman"/>
          <w:bCs/>
          <w:sz w:val="28"/>
          <w:szCs w:val="28"/>
        </w:rPr>
        <w:t xml:space="preserve">GCBA </w:t>
      </w:r>
      <w:r w:rsidRPr="00EF6373">
        <w:rPr>
          <w:rFonts w:ascii="Garamond" w:hAnsi="Garamond" w:cs="Times New Roman"/>
          <w:bCs/>
          <w:sz w:val="28"/>
          <w:szCs w:val="28"/>
        </w:rPr>
        <w:t xml:space="preserve">contra </w:t>
      </w:r>
      <w:r>
        <w:rPr>
          <w:rFonts w:ascii="Garamond" w:hAnsi="Garamond" w:cs="Times New Roman"/>
          <w:bCs/>
          <w:sz w:val="28"/>
          <w:szCs w:val="28"/>
        </w:rPr>
        <w:t>Avianca Perú SA sobre ejecución fiscal - Ing. Brutos Convenio M</w:t>
      </w:r>
      <w:r w:rsidRPr="00EF6373">
        <w:rPr>
          <w:rFonts w:ascii="Garamond" w:hAnsi="Garamond" w:cs="Times New Roman"/>
          <w:bCs/>
          <w:sz w:val="28"/>
          <w:szCs w:val="28"/>
        </w:rPr>
        <w:t>ultilateral</w:t>
      </w:r>
      <w:r>
        <w:rPr>
          <w:rFonts w:ascii="Garamond" w:hAnsi="Garamond" w:cs="Times New Roman"/>
          <w:bCs/>
          <w:sz w:val="28"/>
          <w:szCs w:val="28"/>
        </w:rPr>
        <w:t>”.</w:t>
      </w:r>
      <w:r w:rsidR="00DA6928">
        <w:rPr>
          <w:rFonts w:ascii="Garamond" w:hAnsi="Garamond" w:cs="Times New Roman"/>
          <w:bCs/>
          <w:sz w:val="28"/>
          <w:szCs w:val="28"/>
        </w:rPr>
        <w:t xml:space="preserve"> Sentencias del 09-04-2024 y 05-06-2025 respectivamente</w:t>
      </w:r>
    </w:p>
    <w:p w:rsidR="00EF6373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b/>
          <w:sz w:val="28"/>
          <w:szCs w:val="28"/>
        </w:rPr>
      </w:pPr>
    </w:p>
    <w:p w:rsidR="00EF6373" w:rsidRPr="005C1499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sectPr w:rsidR="00EF6373" w:rsidRPr="005C14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A66" w:rsidRDefault="00B27A66" w:rsidP="00EB63EC">
      <w:pPr>
        <w:spacing w:after="0" w:line="240" w:lineRule="auto"/>
      </w:pPr>
      <w:r>
        <w:separator/>
      </w:r>
    </w:p>
  </w:endnote>
  <w:endnote w:type="continuationSeparator" w:id="0">
    <w:p w:rsidR="00B27A66" w:rsidRDefault="00B27A66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A66" w:rsidRDefault="00B27A66" w:rsidP="00EB63EC">
      <w:pPr>
        <w:spacing w:after="0" w:line="240" w:lineRule="auto"/>
      </w:pPr>
      <w:r>
        <w:separator/>
      </w:r>
    </w:p>
  </w:footnote>
  <w:footnote w:type="continuationSeparator" w:id="0">
    <w:p w:rsidR="00B27A66" w:rsidRDefault="00B27A66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6D9"/>
    <w:multiLevelType w:val="hybridMultilevel"/>
    <w:tmpl w:val="592208FE"/>
    <w:lvl w:ilvl="0" w:tplc="452031B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447B0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227F9"/>
    <w:rsid w:val="00142458"/>
    <w:rsid w:val="00151AD2"/>
    <w:rsid w:val="0015449E"/>
    <w:rsid w:val="00155790"/>
    <w:rsid w:val="001619CD"/>
    <w:rsid w:val="0016373C"/>
    <w:rsid w:val="001B0340"/>
    <w:rsid w:val="001C10F8"/>
    <w:rsid w:val="001C32A8"/>
    <w:rsid w:val="001C4101"/>
    <w:rsid w:val="001D2B8A"/>
    <w:rsid w:val="001E098C"/>
    <w:rsid w:val="001E183C"/>
    <w:rsid w:val="001E20A3"/>
    <w:rsid w:val="001E22D1"/>
    <w:rsid w:val="00202813"/>
    <w:rsid w:val="002042AD"/>
    <w:rsid w:val="00214659"/>
    <w:rsid w:val="0022197C"/>
    <w:rsid w:val="002301B7"/>
    <w:rsid w:val="00252BA6"/>
    <w:rsid w:val="00255D1B"/>
    <w:rsid w:val="00277D1F"/>
    <w:rsid w:val="00286DB9"/>
    <w:rsid w:val="002B22DE"/>
    <w:rsid w:val="002B2F5D"/>
    <w:rsid w:val="002C3434"/>
    <w:rsid w:val="002C463D"/>
    <w:rsid w:val="002D1B2D"/>
    <w:rsid w:val="002E57D0"/>
    <w:rsid w:val="00313358"/>
    <w:rsid w:val="00316BA9"/>
    <w:rsid w:val="0032728A"/>
    <w:rsid w:val="003374A8"/>
    <w:rsid w:val="00377681"/>
    <w:rsid w:val="003A33F3"/>
    <w:rsid w:val="003D1BBD"/>
    <w:rsid w:val="003F06E3"/>
    <w:rsid w:val="003F6B40"/>
    <w:rsid w:val="004316A8"/>
    <w:rsid w:val="00446C0A"/>
    <w:rsid w:val="0047315C"/>
    <w:rsid w:val="00495404"/>
    <w:rsid w:val="004A5611"/>
    <w:rsid w:val="004B0467"/>
    <w:rsid w:val="004B73B8"/>
    <w:rsid w:val="004C1E55"/>
    <w:rsid w:val="004C44D2"/>
    <w:rsid w:val="004C4BBB"/>
    <w:rsid w:val="004D1DB4"/>
    <w:rsid w:val="004F358D"/>
    <w:rsid w:val="00505418"/>
    <w:rsid w:val="00523A30"/>
    <w:rsid w:val="0055048C"/>
    <w:rsid w:val="00550DA9"/>
    <w:rsid w:val="00585665"/>
    <w:rsid w:val="00593496"/>
    <w:rsid w:val="005A38F7"/>
    <w:rsid w:val="005B0084"/>
    <w:rsid w:val="005C1499"/>
    <w:rsid w:val="005C570F"/>
    <w:rsid w:val="005D5ABF"/>
    <w:rsid w:val="005F296B"/>
    <w:rsid w:val="00641580"/>
    <w:rsid w:val="0065173B"/>
    <w:rsid w:val="00696536"/>
    <w:rsid w:val="006A36B3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34677"/>
    <w:rsid w:val="0076230C"/>
    <w:rsid w:val="00762EE2"/>
    <w:rsid w:val="00775109"/>
    <w:rsid w:val="00786A58"/>
    <w:rsid w:val="007A6919"/>
    <w:rsid w:val="007B2075"/>
    <w:rsid w:val="007D565C"/>
    <w:rsid w:val="007F5646"/>
    <w:rsid w:val="00811BD7"/>
    <w:rsid w:val="00813CF3"/>
    <w:rsid w:val="0081490A"/>
    <w:rsid w:val="008378F7"/>
    <w:rsid w:val="00874846"/>
    <w:rsid w:val="0089184A"/>
    <w:rsid w:val="00895459"/>
    <w:rsid w:val="008A18B7"/>
    <w:rsid w:val="008C35C2"/>
    <w:rsid w:val="008D66C1"/>
    <w:rsid w:val="009005E5"/>
    <w:rsid w:val="00906599"/>
    <w:rsid w:val="00922731"/>
    <w:rsid w:val="00924D08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B3D97"/>
    <w:rsid w:val="009C0D29"/>
    <w:rsid w:val="00A01B31"/>
    <w:rsid w:val="00A01D32"/>
    <w:rsid w:val="00A01F5C"/>
    <w:rsid w:val="00A06091"/>
    <w:rsid w:val="00A37AC0"/>
    <w:rsid w:val="00A51B3D"/>
    <w:rsid w:val="00A63B3F"/>
    <w:rsid w:val="00A7227B"/>
    <w:rsid w:val="00AC017A"/>
    <w:rsid w:val="00AF08F1"/>
    <w:rsid w:val="00AF3993"/>
    <w:rsid w:val="00B21B1E"/>
    <w:rsid w:val="00B27A66"/>
    <w:rsid w:val="00B40836"/>
    <w:rsid w:val="00B6340C"/>
    <w:rsid w:val="00B63FAB"/>
    <w:rsid w:val="00B877E8"/>
    <w:rsid w:val="00B900EB"/>
    <w:rsid w:val="00BA26EA"/>
    <w:rsid w:val="00BA56DF"/>
    <w:rsid w:val="00BB3E6E"/>
    <w:rsid w:val="00BD3A05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0BCB"/>
    <w:rsid w:val="00D01A38"/>
    <w:rsid w:val="00D2265D"/>
    <w:rsid w:val="00D81C95"/>
    <w:rsid w:val="00D833CC"/>
    <w:rsid w:val="00D93CF1"/>
    <w:rsid w:val="00DA6928"/>
    <w:rsid w:val="00E22E97"/>
    <w:rsid w:val="00E65816"/>
    <w:rsid w:val="00E75836"/>
    <w:rsid w:val="00E76B59"/>
    <w:rsid w:val="00EA355A"/>
    <w:rsid w:val="00EB0D33"/>
    <w:rsid w:val="00EB63EC"/>
    <w:rsid w:val="00EB6958"/>
    <w:rsid w:val="00EC0B9B"/>
    <w:rsid w:val="00EF6373"/>
    <w:rsid w:val="00EF6985"/>
    <w:rsid w:val="00F03AF4"/>
    <w:rsid w:val="00F432CA"/>
    <w:rsid w:val="00F45355"/>
    <w:rsid w:val="00F60883"/>
    <w:rsid w:val="00F71E52"/>
    <w:rsid w:val="00F87C68"/>
    <w:rsid w:val="00F92204"/>
    <w:rsid w:val="00F9345F"/>
    <w:rsid w:val="00F96479"/>
    <w:rsid w:val="00FD32BA"/>
    <w:rsid w:val="00FD687E"/>
    <w:rsid w:val="00FE0893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6761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250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8</cp:revision>
  <dcterms:created xsi:type="dcterms:W3CDTF">2025-07-28T13:53:00Z</dcterms:created>
  <dcterms:modified xsi:type="dcterms:W3CDTF">2025-08-24T23:48:00Z</dcterms:modified>
</cp:coreProperties>
</file>